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انذار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الغير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لائق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عنوان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المسمى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الوظيفي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القسم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نوجه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الإنذار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كتحذير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رسمي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السلوكيات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المقبولة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الصادرة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عنك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وتمثلت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: -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التحدث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بطرق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لائقة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واستخدام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العنف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اللفظي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معهم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نشر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الأخبار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الكاذبة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التنمر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والتمييز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الجنس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العرق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الديانة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الزملاء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استخدام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اللغة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البذيئة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العنف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اللفظي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التعامل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نؤكد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السلوك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المهني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والاحترام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المتبادل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أساسيات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الحفاظ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بيئة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صحية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وناجحة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لذا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شدد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بالقواعد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والسلوكيات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المطلوبة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وإلا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يؤدي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الأمر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اتخاذ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العقوبات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والإجراءات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التأديبية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شكر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لتعاونك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..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خالص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التحية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..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دير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المشرف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1"/>
        </w:rPr>
        <w:t xml:space="preserve"> (....)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57238" cy="6400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640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