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رسالة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توصية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علمية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المرسل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وصفته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البريد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رقم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الهاتف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الموضوع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التركية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تخصص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(.....)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أكتب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لأوصي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بإخلاص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التركية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لاحظت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قدراته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الاستثنائية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وشغفه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المجال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وسعيه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الفرصة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ولقد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بمراجعة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أبحاثه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ومشروعاته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ولاحظت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بمهارات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تحليلية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وبحثية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متقدمة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مساهماته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وإنجازاته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(...........)،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خلفية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سابقة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المجال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البحثي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والعلمي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(.........)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يقين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أحق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المرشحين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للاستفادة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بالمنحة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الفرصة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ستساعده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والعلمي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وإضافة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إفادة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وقيمة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للمجتمع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بمنح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الموصى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الفرصة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المحترمة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تقدمها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مؤسستكم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الأكاديمية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المعروفة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أتمنى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تأخذوا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توصيتي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لديكم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التردد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المذكورين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شكرا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لوقتكم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واهتمامكم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خالص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المرسل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ومنصبه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890588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