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العنوان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شكوى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موظف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سلوكيات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مقبولة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الشاكي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محمد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الموارد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البشرية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الهاتف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0123456789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البريد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الإلكتروني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sarah.mohamed@company.com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تفاصيل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2023-05-12،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الساعة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11:30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صباح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لاحظت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إبراهيم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المبيعات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يتحدث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بطريقة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عنيفة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ومسيئة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إحدى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محمود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منطقة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المكاتب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بجوار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التسويق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سمعت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يصرخ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عنف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وينتقد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أدائها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بطريقة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انفعالية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وشخصية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وكان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لائق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ومؤذ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نفسي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وبناء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حدث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تأثر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المبيعات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وبدء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كلا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منهم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التدخل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وهو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تسبب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تعطيل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الأداء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وسير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موضح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اللائحة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للمؤسسة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أعلم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التصرف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ينتهك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سياسات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بالسلوك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والاحترام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المتبادل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وبناء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-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أطلب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إجراء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تحقيق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رسمي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إبراهيم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إقرار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خطي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بعدم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تكرار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المستقبل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اعتذار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رسمي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إبراهيم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محمود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أرجو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الإدارة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النظر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إجراء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تأديبي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مناسب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ضد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علاء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إبراهيم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وإبلاغه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تكرر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إقرار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-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أقر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الواردة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وكاملة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مكن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التأكد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مصداقيتها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مراجعة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الكاميرات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المحيطة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بالمنطقة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المشكلة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التوقيع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: -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سارة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محمد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